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CEF" w:rsidRDefault="0019326B">
      <w:pPr>
        <w:spacing w:after="0"/>
        <w:ind w:left="193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РИСКОВЫЙ ПРОФИЛЬ ШКОЛЫ</w:t>
      </w:r>
      <w:r>
        <w:t xml:space="preserve"> </w:t>
      </w:r>
    </w:p>
    <w:p w:rsidR="00984CEF" w:rsidRDefault="0019326B">
      <w:pPr>
        <w:spacing w:after="0"/>
        <w:ind w:left="192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sch660949</w:t>
      </w:r>
      <w:r>
        <w:t xml:space="preserve"> </w:t>
      </w:r>
    </w:p>
    <w:tbl>
      <w:tblPr>
        <w:tblStyle w:val="TableGrid"/>
        <w:tblW w:w="10000" w:type="dxa"/>
        <w:tblInd w:w="253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001"/>
        <w:gridCol w:w="5999"/>
      </w:tblGrid>
      <w:tr w:rsidR="00984CEF">
        <w:trPr>
          <w:trHeight w:val="284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:rsidR="00984CEF" w:rsidRDefault="0019326B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Значимость фактора риска в ОО</w:t>
            </w:r>
            <w:r>
              <w:t xml:space="preserve"> 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:rsidR="00984CEF" w:rsidRDefault="0019326B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Действия</w:t>
            </w:r>
            <w:r>
              <w:t xml:space="preserve"> </w:t>
            </w:r>
          </w:p>
        </w:tc>
      </w:tr>
      <w:tr w:rsidR="00984CEF">
        <w:trPr>
          <w:trHeight w:val="286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:rsidR="00984CEF" w:rsidRDefault="0019326B">
            <w:r>
              <w:rPr>
                <w:rFonts w:ascii="Times New Roman" w:eastAsia="Times New Roman" w:hAnsi="Times New Roman" w:cs="Times New Roman"/>
                <w:i/>
                <w:sz w:val="24"/>
              </w:rPr>
              <w:t>Высокая</w:t>
            </w:r>
            <w:r>
              <w:t xml:space="preserve"> 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CEF" w:rsidRDefault="0019326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требуется принятие мер</w:t>
            </w:r>
            <w:r>
              <w:t xml:space="preserve"> </w:t>
            </w:r>
          </w:p>
        </w:tc>
      </w:tr>
      <w:tr w:rsidR="00984CEF">
        <w:trPr>
          <w:trHeight w:val="285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984CEF" w:rsidRDefault="0019326B">
            <w:r>
              <w:rPr>
                <w:rFonts w:ascii="Times New Roman" w:eastAsia="Times New Roman" w:hAnsi="Times New Roman" w:cs="Times New Roman"/>
                <w:i/>
                <w:sz w:val="24"/>
              </w:rPr>
              <w:t>Средняя</w:t>
            </w:r>
            <w:r>
              <w:t xml:space="preserve"> 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CEF" w:rsidRDefault="0019326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требуется дополнительная оценка ситуации куратором</w:t>
            </w:r>
            <w:r>
              <w:t xml:space="preserve"> </w:t>
            </w:r>
          </w:p>
        </w:tc>
      </w:tr>
      <w:tr w:rsidR="00984CEF">
        <w:trPr>
          <w:trHeight w:val="289"/>
        </w:trPr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CEF" w:rsidRDefault="0019326B">
            <w:r>
              <w:rPr>
                <w:rFonts w:ascii="Times New Roman" w:eastAsia="Times New Roman" w:hAnsi="Times New Roman" w:cs="Times New Roman"/>
                <w:i/>
                <w:sz w:val="24"/>
              </w:rPr>
              <w:t>Низкая</w:t>
            </w:r>
            <w:r>
              <w:t xml:space="preserve"> 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CEF" w:rsidRDefault="0019326B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возможна дополнительная оценка ситуации куратором</w:t>
            </w:r>
            <w:r>
              <w:t xml:space="preserve"> </w:t>
            </w:r>
          </w:p>
        </w:tc>
      </w:tr>
    </w:tbl>
    <w:p w:rsidR="00984CEF" w:rsidRDefault="0019326B">
      <w:pPr>
        <w:spacing w:after="0"/>
      </w:pPr>
      <w:r>
        <w:t xml:space="preserve"> </w:t>
      </w:r>
    </w:p>
    <w:p w:rsidR="00984CEF" w:rsidRDefault="0019326B">
      <w:pPr>
        <w:spacing w:after="0"/>
      </w:pPr>
      <w:r>
        <w:t xml:space="preserve"> </w:t>
      </w:r>
    </w:p>
    <w:tbl>
      <w:tblPr>
        <w:tblStyle w:val="TableGrid"/>
        <w:tblW w:w="10000" w:type="dxa"/>
        <w:tblInd w:w="253" w:type="dxa"/>
        <w:tblCellMar>
          <w:top w:w="58" w:type="dxa"/>
          <w:left w:w="107" w:type="dxa"/>
          <w:right w:w="142" w:type="dxa"/>
        </w:tblCellMar>
        <w:tblLook w:val="04A0" w:firstRow="1" w:lastRow="0" w:firstColumn="1" w:lastColumn="0" w:noHBand="0" w:noVBand="1"/>
      </w:tblPr>
      <w:tblGrid>
        <w:gridCol w:w="6004"/>
        <w:gridCol w:w="1993"/>
        <w:gridCol w:w="2003"/>
      </w:tblGrid>
      <w:tr w:rsidR="00984CEF">
        <w:trPr>
          <w:trHeight w:val="571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:rsidR="00984CEF" w:rsidRDefault="0019326B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Факторы риска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2F5496"/>
          </w:tcPr>
          <w:p w:rsidR="00984CEF" w:rsidRDefault="0019326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Значимость фактора риска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:rsidR="00984CEF" w:rsidRDefault="0019326B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  <w:t>Рекомендации</w:t>
            </w:r>
            <w:r>
              <w:t xml:space="preserve"> </w:t>
            </w:r>
          </w:p>
        </w:tc>
      </w:tr>
      <w:tr w:rsidR="00984CEF">
        <w:trPr>
          <w:trHeight w:val="306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4CEF" w:rsidRDefault="0019326B">
            <w:r>
              <w:rPr>
                <w:rFonts w:ascii="Times New Roman" w:eastAsia="Times New Roman" w:hAnsi="Times New Roman" w:cs="Times New Roman"/>
                <w:sz w:val="24"/>
              </w:rPr>
              <w:t>1. Низкий уровень оснащения школы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single" w:sz="2" w:space="0" w:color="FFFFFF"/>
              <w:right w:val="single" w:sz="12" w:space="0" w:color="000000"/>
            </w:tcBorders>
          </w:tcPr>
          <w:p w:rsidR="00984CEF" w:rsidRDefault="0019326B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Низкая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4CEF" w:rsidRDefault="00E619F7">
            <w:pPr>
              <w:ind w:left="4"/>
            </w:pPr>
            <w:hyperlink r:id="rId4" w:anchor="page=27">
              <w:r w:rsidR="0019326B"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5" w:anchor="page=27">
              <w:r w:rsidR="0019326B">
                <w:t xml:space="preserve"> </w:t>
              </w:r>
            </w:hyperlink>
          </w:p>
        </w:tc>
      </w:tr>
      <w:tr w:rsidR="00984CEF">
        <w:trPr>
          <w:trHeight w:val="307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4CEF" w:rsidRDefault="0019326B">
            <w:r>
              <w:rPr>
                <w:rFonts w:ascii="Times New Roman" w:eastAsia="Times New Roman" w:hAnsi="Times New Roman" w:cs="Times New Roman"/>
                <w:sz w:val="24"/>
              </w:rPr>
              <w:t>2. Дефицит педагогических кадров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FFFFF"/>
              <w:left w:val="single" w:sz="12" w:space="0" w:color="000000"/>
              <w:bottom w:val="single" w:sz="2" w:space="0" w:color="FFF2CC"/>
              <w:right w:val="single" w:sz="12" w:space="0" w:color="000000"/>
            </w:tcBorders>
          </w:tcPr>
          <w:p w:rsidR="00984CEF" w:rsidRDefault="0019326B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Низкая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4CEF" w:rsidRDefault="00E619F7">
            <w:pPr>
              <w:ind w:left="4"/>
            </w:pPr>
            <w:hyperlink r:id="rId6" w:anchor="page=27">
              <w:r w:rsidR="0019326B"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7" w:anchor="page=27">
              <w:r w:rsidR="0019326B">
                <w:t xml:space="preserve"> </w:t>
              </w:r>
            </w:hyperlink>
          </w:p>
        </w:tc>
      </w:tr>
      <w:tr w:rsidR="00984CEF">
        <w:trPr>
          <w:trHeight w:val="580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4CEF" w:rsidRDefault="0019326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 Недостаточная предметная и методическая компетентность педагогических работников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FF2CC"/>
              <w:left w:val="single" w:sz="12" w:space="0" w:color="000000"/>
              <w:bottom w:val="single" w:sz="2" w:space="0" w:color="FFF2CC"/>
              <w:right w:val="single" w:sz="12" w:space="0" w:color="000000"/>
            </w:tcBorders>
            <w:shd w:val="clear" w:color="auto" w:fill="FFF2CC"/>
          </w:tcPr>
          <w:p w:rsidR="00984CEF" w:rsidRDefault="0019326B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Средняя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4CEF" w:rsidRDefault="00E619F7">
            <w:pPr>
              <w:ind w:left="4"/>
            </w:pPr>
            <w:hyperlink r:id="rId8" w:anchor="page=22">
              <w:r w:rsidR="0019326B"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9" w:anchor="page=22">
              <w:r w:rsidR="0019326B">
                <w:rPr>
                  <w:rFonts w:ascii="Times New Roman" w:eastAsia="Times New Roman" w:hAnsi="Times New Roman" w:cs="Times New Roman"/>
                  <w:sz w:val="24"/>
                </w:rPr>
                <w:t>,</w:t>
              </w:r>
            </w:hyperlink>
            <w:hyperlink r:id="rId10" w:anchor="page=25">
              <w:r w:rsidR="0019326B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11" w:anchor="page=25">
              <w:r w:rsidR="0019326B"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12" w:anchor="page=25">
              <w:r w:rsidR="0019326B">
                <w:t xml:space="preserve"> </w:t>
              </w:r>
            </w:hyperlink>
          </w:p>
        </w:tc>
      </w:tr>
      <w:tr w:rsidR="00984CEF">
        <w:trPr>
          <w:trHeight w:val="307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4CEF" w:rsidRDefault="0019326B">
            <w:r>
              <w:rPr>
                <w:rFonts w:ascii="Times New Roman" w:eastAsia="Times New Roman" w:hAnsi="Times New Roman" w:cs="Times New Roman"/>
                <w:sz w:val="24"/>
              </w:rPr>
              <w:t>4. Высокая доля обучающихся с ОВЗ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FF2CC"/>
              <w:left w:val="single" w:sz="12" w:space="0" w:color="000000"/>
              <w:bottom w:val="single" w:sz="2" w:space="0" w:color="FFF2CC"/>
              <w:right w:val="single" w:sz="12" w:space="0" w:color="000000"/>
            </w:tcBorders>
            <w:shd w:val="clear" w:color="auto" w:fill="FFF2CC"/>
          </w:tcPr>
          <w:p w:rsidR="00984CEF" w:rsidRDefault="0019326B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Средняя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4CEF" w:rsidRDefault="00E619F7">
            <w:pPr>
              <w:ind w:left="4"/>
            </w:pPr>
            <w:hyperlink r:id="rId13" w:anchor="page=41">
              <w:r w:rsidR="0019326B"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14" w:anchor="page=41">
              <w:r w:rsidR="0019326B">
                <w:t xml:space="preserve"> </w:t>
              </w:r>
            </w:hyperlink>
          </w:p>
        </w:tc>
      </w:tr>
      <w:tr w:rsidR="00984CEF">
        <w:trPr>
          <w:trHeight w:val="581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4CEF" w:rsidRDefault="0019326B">
            <w:r>
              <w:rPr>
                <w:rFonts w:ascii="Times New Roman" w:eastAsia="Times New Roman" w:hAnsi="Times New Roman" w:cs="Times New Roman"/>
                <w:sz w:val="24"/>
              </w:rPr>
              <w:t>5. Низкое качество преодоления языковых и культурных барьеров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FF2CC"/>
              <w:left w:val="single" w:sz="12" w:space="0" w:color="000000"/>
              <w:bottom w:val="single" w:sz="2" w:space="0" w:color="FFF2CC"/>
              <w:right w:val="single" w:sz="12" w:space="0" w:color="000000"/>
            </w:tcBorders>
            <w:shd w:val="clear" w:color="auto" w:fill="FFF2CC"/>
          </w:tcPr>
          <w:p w:rsidR="00984CEF" w:rsidRDefault="0019326B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Средняя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4CEF" w:rsidRDefault="00E619F7">
            <w:pPr>
              <w:ind w:left="4"/>
            </w:pPr>
            <w:hyperlink r:id="rId15" w:anchor="page=42">
              <w:r w:rsidR="0019326B"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16" w:anchor="page=42">
              <w:r w:rsidR="0019326B">
                <w:t xml:space="preserve"> </w:t>
              </w:r>
            </w:hyperlink>
          </w:p>
        </w:tc>
      </w:tr>
      <w:tr w:rsidR="00984CEF">
        <w:trPr>
          <w:trHeight w:val="307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4CEF" w:rsidRDefault="0019326B">
            <w:r>
              <w:rPr>
                <w:rFonts w:ascii="Times New Roman" w:eastAsia="Times New Roman" w:hAnsi="Times New Roman" w:cs="Times New Roman"/>
                <w:sz w:val="24"/>
              </w:rPr>
              <w:t>6. Низкая учебная мотивация обучающихся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FF2CC"/>
              <w:left w:val="single" w:sz="12" w:space="0" w:color="000000"/>
              <w:bottom w:val="single" w:sz="2" w:space="0" w:color="FBE4D5"/>
              <w:right w:val="single" w:sz="12" w:space="0" w:color="000000"/>
            </w:tcBorders>
            <w:shd w:val="clear" w:color="auto" w:fill="FFF2CC"/>
          </w:tcPr>
          <w:p w:rsidR="00984CEF" w:rsidRDefault="0019326B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Средняя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4CEF" w:rsidRDefault="00E619F7">
            <w:pPr>
              <w:ind w:left="4"/>
            </w:pPr>
            <w:hyperlink r:id="rId17" w:anchor="page=31">
              <w:r w:rsidR="0019326B"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18" w:anchor="page=31">
              <w:r w:rsidR="0019326B">
                <w:t xml:space="preserve"> </w:t>
              </w:r>
            </w:hyperlink>
          </w:p>
        </w:tc>
      </w:tr>
      <w:tr w:rsidR="00984CEF">
        <w:trPr>
          <w:trHeight w:val="305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4CEF" w:rsidRDefault="0019326B">
            <w:r>
              <w:rPr>
                <w:rFonts w:ascii="Times New Roman" w:eastAsia="Times New Roman" w:hAnsi="Times New Roman" w:cs="Times New Roman"/>
                <w:sz w:val="24"/>
              </w:rPr>
              <w:t>7.Пониженный уровень школьного благополучия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BE4D5"/>
              <w:left w:val="single" w:sz="12" w:space="0" w:color="000000"/>
              <w:bottom w:val="single" w:sz="2" w:space="0" w:color="FFF2CC"/>
              <w:right w:val="single" w:sz="12" w:space="0" w:color="000000"/>
            </w:tcBorders>
            <w:shd w:val="clear" w:color="auto" w:fill="FBE4D5"/>
          </w:tcPr>
          <w:p w:rsidR="00984CEF" w:rsidRDefault="0019326B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Высокая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4CEF" w:rsidRDefault="00E619F7">
            <w:pPr>
              <w:ind w:left="4"/>
            </w:pPr>
            <w:hyperlink r:id="rId19" w:anchor="page=40">
              <w:r w:rsidR="0019326B"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20" w:anchor="page=40">
              <w:r w:rsidR="0019326B">
                <w:t xml:space="preserve"> </w:t>
              </w:r>
            </w:hyperlink>
          </w:p>
        </w:tc>
      </w:tr>
      <w:tr w:rsidR="00984CEF">
        <w:trPr>
          <w:trHeight w:val="307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4CEF" w:rsidRDefault="0019326B">
            <w:r>
              <w:rPr>
                <w:rFonts w:ascii="Times New Roman" w:eastAsia="Times New Roman" w:hAnsi="Times New Roman" w:cs="Times New Roman"/>
                <w:sz w:val="24"/>
              </w:rPr>
              <w:t>8. Низкий уровень дисциплины в классе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FF2CC"/>
              <w:left w:val="single" w:sz="12" w:space="0" w:color="000000"/>
              <w:bottom w:val="single" w:sz="2" w:space="0" w:color="FBE4D5"/>
              <w:right w:val="single" w:sz="12" w:space="0" w:color="000000"/>
            </w:tcBorders>
            <w:shd w:val="clear" w:color="auto" w:fill="FFF2CC"/>
          </w:tcPr>
          <w:p w:rsidR="00984CEF" w:rsidRDefault="0019326B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Средняя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4CEF" w:rsidRDefault="00E619F7">
            <w:pPr>
              <w:ind w:left="4"/>
            </w:pPr>
            <w:hyperlink r:id="rId21" w:anchor="page=34">
              <w:r w:rsidR="0019326B"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22" w:anchor="page=34">
              <w:r w:rsidR="0019326B">
                <w:t xml:space="preserve"> </w:t>
              </w:r>
            </w:hyperlink>
          </w:p>
        </w:tc>
      </w:tr>
      <w:tr w:rsidR="00984CEF">
        <w:trPr>
          <w:trHeight w:val="581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4CEF" w:rsidRDefault="0019326B">
            <w:r>
              <w:rPr>
                <w:rFonts w:ascii="Times New Roman" w:eastAsia="Times New Roman" w:hAnsi="Times New Roman" w:cs="Times New Roman"/>
                <w:sz w:val="24"/>
              </w:rPr>
              <w:t>9. Высокая доля обучающихся с рисками учебной неуспешности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BE4D5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FBE4D5"/>
          </w:tcPr>
          <w:p w:rsidR="00984CEF" w:rsidRDefault="0019326B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Высокая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4CEF" w:rsidRDefault="00E619F7">
            <w:pPr>
              <w:ind w:left="4"/>
            </w:pPr>
            <w:hyperlink r:id="rId23" w:anchor="page=28">
              <w:r w:rsidR="0019326B"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24" w:anchor="page=28">
              <w:r w:rsidR="0019326B">
                <w:t xml:space="preserve"> </w:t>
              </w:r>
            </w:hyperlink>
          </w:p>
        </w:tc>
      </w:tr>
      <w:tr w:rsidR="00984CEF">
        <w:trPr>
          <w:trHeight w:val="304"/>
        </w:trPr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84CEF" w:rsidRDefault="0019326B">
            <w:r>
              <w:rPr>
                <w:rFonts w:ascii="Times New Roman" w:eastAsia="Times New Roman" w:hAnsi="Times New Roman" w:cs="Times New Roman"/>
                <w:sz w:val="24"/>
              </w:rPr>
              <w:t>10. Низкий уровень вовлеченности родителей</w:t>
            </w:r>
            <w:r>
              <w:t xml:space="preserve"> </w:t>
            </w:r>
          </w:p>
        </w:tc>
        <w:tc>
          <w:tcPr>
            <w:tcW w:w="1993" w:type="dxa"/>
            <w:tcBorders>
              <w:top w:val="single" w:sz="2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4CEF" w:rsidRDefault="0019326B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Низкая</w:t>
            </w:r>
            <w: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84CEF" w:rsidRDefault="00E619F7">
            <w:pPr>
              <w:ind w:left="4"/>
            </w:pPr>
            <w:hyperlink r:id="rId25" w:anchor="page=36">
              <w:r w:rsidR="0019326B">
                <w:rPr>
                  <w:rFonts w:ascii="Times New Roman" w:eastAsia="Times New Roman" w:hAnsi="Times New Roman" w:cs="Times New Roman"/>
                  <w:color w:val="4472C4"/>
                  <w:sz w:val="24"/>
                  <w:u w:val="single" w:color="4472C4"/>
                </w:rPr>
                <w:t>Ссылка</w:t>
              </w:r>
            </w:hyperlink>
            <w:hyperlink r:id="rId26" w:anchor="page=36">
              <w:r w:rsidR="0019326B">
                <w:t xml:space="preserve"> </w:t>
              </w:r>
            </w:hyperlink>
          </w:p>
        </w:tc>
      </w:tr>
    </w:tbl>
    <w:p w:rsidR="00984CEF" w:rsidRDefault="0019326B">
      <w:pPr>
        <w:spacing w:after="24"/>
      </w:pPr>
      <w:r>
        <w:t xml:space="preserve"> </w:t>
      </w:r>
    </w:p>
    <w:p w:rsidR="00984CEF" w:rsidRDefault="0019326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Методика адресной поддержки, методические материалы на сайте ФИОКО: </w:t>
      </w:r>
      <w:hyperlink r:id="rId27">
        <w:r>
          <w:rPr>
            <w:rFonts w:ascii="Times New Roman" w:eastAsia="Times New Roman" w:hAnsi="Times New Roman" w:cs="Times New Roman"/>
            <w:color w:val="4472C4"/>
            <w:sz w:val="24"/>
            <w:u w:val="single" w:color="4472C4"/>
          </w:rPr>
          <w:t>https://fioco.ru/antirisk</w:t>
        </w:r>
      </w:hyperlink>
      <w:hyperlink r:id="rId28">
        <w:r>
          <w:t xml:space="preserve"> </w:t>
        </w:r>
      </w:hyperlink>
    </w:p>
    <w:p w:rsidR="00984CEF" w:rsidRDefault="0019326B">
      <w:pPr>
        <w:spacing w:after="0"/>
      </w:pPr>
      <w:r>
        <w:t xml:space="preserve"> </w:t>
      </w:r>
      <w:r>
        <w:tab/>
        <w:t xml:space="preserve"> </w:t>
      </w:r>
      <w:r>
        <w:br w:type="page"/>
      </w:r>
    </w:p>
    <w:tbl>
      <w:tblPr>
        <w:tblStyle w:val="TableGrid"/>
        <w:tblW w:w="10598" w:type="dxa"/>
        <w:tblInd w:w="-107" w:type="dxa"/>
        <w:tblCellMar>
          <w:top w:w="56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10598"/>
      </w:tblGrid>
      <w:tr w:rsidR="00984CEF">
        <w:trPr>
          <w:trHeight w:val="439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vAlign w:val="center"/>
          </w:tcPr>
          <w:p w:rsidR="00984CEF" w:rsidRDefault="0019326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</w:rPr>
              <w:lastRenderedPageBreak/>
              <w:t>ОЦЕНКА РИСКОВ ОБЩЕОБРАЗОВАТЕЛЬНОЙ ОРГАНИЗАЦИИ</w:t>
            </w:r>
            <w:r>
              <w:t xml:space="preserve"> </w:t>
            </w:r>
          </w:p>
        </w:tc>
      </w:tr>
      <w:tr w:rsidR="00984CEF">
        <w:trPr>
          <w:trHeight w:val="562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4472C4"/>
          </w:tcPr>
          <w:p w:rsidR="00984CEF" w:rsidRDefault="0019326B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 xml:space="preserve">Муниципальное  бюджетное общеобразовательное учреждение средняя общеобразовательная школа </w:t>
            </w:r>
          </w:p>
          <w:p w:rsidR="00984CEF" w:rsidRDefault="0019326B">
            <w:r>
              <w:rPr>
                <w:rFonts w:ascii="Times New Roman" w:eastAsia="Times New Roman" w:hAnsi="Times New Roman" w:cs="Times New Roman"/>
                <w:color w:val="FFFFFF"/>
                <w:sz w:val="24"/>
              </w:rPr>
              <w:t>№ 49</w:t>
            </w:r>
            <w:r>
              <w:t xml:space="preserve"> </w:t>
            </w:r>
          </w:p>
        </w:tc>
      </w:tr>
    </w:tbl>
    <w:p w:rsidR="00984CEF" w:rsidRDefault="0019326B">
      <w:pPr>
        <w:tabs>
          <w:tab w:val="center" w:pos="1534"/>
          <w:tab w:val="center" w:pos="5032"/>
          <w:tab w:val="center" w:pos="7895"/>
          <w:tab w:val="center" w:pos="8901"/>
          <w:tab w:val="right" w:pos="10315"/>
        </w:tabs>
        <w:spacing w:after="0"/>
      </w:pP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  <w:r>
        <w:rPr>
          <w:rFonts w:ascii="Times New Roman" w:eastAsia="Times New Roman" w:hAnsi="Times New Roman" w:cs="Times New Roman"/>
          <w:sz w:val="20"/>
        </w:rPr>
        <w:t>фактор риска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>параметры анализа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>результат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>ед.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фиксация </w:t>
      </w:r>
    </w:p>
    <w:p w:rsidR="00984CEF" w:rsidRDefault="0019326B">
      <w:pPr>
        <w:tabs>
          <w:tab w:val="center" w:pos="8902"/>
          <w:tab w:val="right" w:pos="1031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>изм.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>риска</w:t>
      </w:r>
      <w:r>
        <w:t xml:space="preserve"> </w:t>
      </w:r>
    </w:p>
    <w:tbl>
      <w:tblPr>
        <w:tblStyle w:val="TableGrid"/>
        <w:tblW w:w="10598" w:type="dxa"/>
        <w:tblInd w:w="-107" w:type="dxa"/>
        <w:tblCellMar>
          <w:top w:w="7" w:type="dxa"/>
          <w:right w:w="64" w:type="dxa"/>
        </w:tblCellMar>
        <w:tblLook w:val="04A0" w:firstRow="1" w:lastRow="0" w:firstColumn="1" w:lastColumn="0" w:noHBand="0" w:noVBand="1"/>
      </w:tblPr>
      <w:tblGrid>
        <w:gridCol w:w="532"/>
        <w:gridCol w:w="2331"/>
        <w:gridCol w:w="4729"/>
        <w:gridCol w:w="823"/>
        <w:gridCol w:w="329"/>
        <w:gridCol w:w="690"/>
        <w:gridCol w:w="1164"/>
      </w:tblGrid>
      <w:tr w:rsidR="00984CEF">
        <w:trPr>
          <w:trHeight w:val="252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</w:tcPr>
          <w:p w:rsidR="00984CEF" w:rsidRDefault="0019326B">
            <w:pPr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84CEF" w:rsidRDefault="0019326B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Низкий уровень оснащения школы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4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Учебные материалы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80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984CEF"/>
        </w:tc>
        <w:tc>
          <w:tcPr>
            <w:tcW w:w="690" w:type="dxa"/>
            <w:tcBorders>
              <w:top w:val="single" w:sz="4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Цифровое оборудование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93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Качество интернет-соединения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89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Дефициты оснащения, зданий и помещений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нет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r>
              <w:rPr>
                <w:rFonts w:ascii="Times New Roman" w:eastAsia="Times New Roman" w:hAnsi="Times New Roman" w:cs="Times New Roman"/>
                <w:sz w:val="20"/>
              </w:rPr>
              <w:t>да/нет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Состояние классов и кабинетов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73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247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</w:tcPr>
          <w:p w:rsidR="00984CEF" w:rsidRDefault="0019326B">
            <w:pPr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84CEF" w:rsidRDefault="0019326B">
            <w:r>
              <w:rPr>
                <w:rFonts w:ascii="Times New Roman" w:eastAsia="Times New Roman" w:hAnsi="Times New Roman" w:cs="Times New Roman"/>
                <w:b/>
                <w:sz w:val="20"/>
              </w:rPr>
              <w:t>Дефицит педагогических кадров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Нехватка педагогов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984CEF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Нехватка психологов, логопедов, социальных педагогов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:rsidR="00984CEF" w:rsidRDefault="0019326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vAlign w:val="center"/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Нехватка вспомогательного персонала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:rsidR="00984CEF" w:rsidRDefault="0019326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235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r>
              <w:rPr>
                <w:rFonts w:ascii="Times New Roman" w:eastAsia="Times New Roman" w:hAnsi="Times New Roman" w:cs="Times New Roman"/>
                <w:b/>
                <w:sz w:val="20"/>
              </w:rPr>
              <w:t>Недостаточная предметная и методическая компетентность педагогических работников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Оценка педагогических компетенций учителей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46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984CEF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FF2CC"/>
          </w:tcPr>
          <w:p w:rsidR="00984CEF" w:rsidRDefault="0019326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984CEF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Участие в системе обмена опытом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53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FF2CC"/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Использование современных педагогических технологий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40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родителей, недовольных преподаванием предметов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Уверенность учителей в своей педагогической компетентности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77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235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r>
              <w:rPr>
                <w:rFonts w:ascii="Times New Roman" w:eastAsia="Times New Roman" w:hAnsi="Times New Roman" w:cs="Times New Roman"/>
                <w:b/>
                <w:sz w:val="20"/>
              </w:rPr>
              <w:t>Высокая доля обучающихся с ОВЗ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обучающихся с ОВЗ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984CEF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FF2CC"/>
          </w:tcPr>
          <w:p w:rsidR="00984CEF" w:rsidRDefault="0019326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984CEF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108" w:right="190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учителей, испытывающих неуверенность при работе с обучающимися с ОВЗ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695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r>
              <w:rPr>
                <w:rFonts w:ascii="Times New Roman" w:eastAsia="Times New Roman" w:hAnsi="Times New Roman" w:cs="Times New Roman"/>
                <w:b/>
                <w:sz w:val="20"/>
              </w:rPr>
              <w:t>Низкое качество преодоления языковых и культурных барьеров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обучающихся, для которых русский язык не является родным или языком повседневного общения (по данным администрации ОО)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984CEF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84CEF" w:rsidRDefault="0019326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984CEF">
        <w:trPr>
          <w:trHeight w:val="6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обучающихся, для которых русский язык не является языком повседневного общения (по ответам обучающихся)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bottom"/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84CEF" w:rsidRDefault="0019326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984CEF">
        <w:trPr>
          <w:trHeight w:val="6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Дополнительные занятия для обучающихся, для которых русский язык не является родным или языком повседневного общения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bottom"/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r>
              <w:rPr>
                <w:rFonts w:ascii="Times New Roman" w:eastAsia="Times New Roman" w:hAnsi="Times New Roman" w:cs="Times New Roman"/>
                <w:sz w:val="20"/>
              </w:rPr>
              <w:t>да/нет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235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Низкая учебная мотивация обучающихся 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Оценка мотивации обучающихся учителями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984CEF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FF2CC"/>
          </w:tcPr>
          <w:p w:rsidR="00984CEF" w:rsidRDefault="0019326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984CEF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spacing w:after="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Уровень мотивации обучающихся </w:t>
            </w:r>
          </w:p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(по ответам обучающихся)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62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Учет индивидуальных возможностей в учебном процессе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54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464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:rsidR="00984CEF" w:rsidRDefault="0019326B">
            <w:pPr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:rsidR="00984CEF" w:rsidRDefault="0019326B">
            <w:r>
              <w:rPr>
                <w:rFonts w:ascii="Times New Roman" w:eastAsia="Times New Roman" w:hAnsi="Times New Roman" w:cs="Times New Roman"/>
                <w:b/>
                <w:sz w:val="20"/>
              </w:rPr>
              <w:t>Пониженный уровень школьного благополучия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:rsidR="00984CEF" w:rsidRDefault="0019326B">
            <w:pPr>
              <w:ind w:left="108" w:right="599"/>
            </w:pPr>
            <w:r>
              <w:rPr>
                <w:rFonts w:ascii="Times New Roman" w:eastAsia="Times New Roman" w:hAnsi="Times New Roman" w:cs="Times New Roman"/>
                <w:sz w:val="20"/>
              </w:rPr>
              <w:t>Ситуации конфликтов и буллинга в школе (по ответам обучающихся)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  <w:vAlign w:val="center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50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:rsidR="00984CEF" w:rsidRDefault="00984CEF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  <w:vAlign w:val="center"/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984CEF" w:rsidRDefault="0019326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984CEF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:rsidR="00984CEF" w:rsidRDefault="0019326B">
            <w:pPr>
              <w:spacing w:after="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Отношения в педагогическом коллективе </w:t>
            </w:r>
          </w:p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(по ответам учителей)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  <w:vAlign w:val="center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76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  <w:vAlign w:val="center"/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обучающихся, столкнувшихся с несправедливым отношением учителей к себе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:rsidR="00984CEF" w:rsidRDefault="0019326B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984CEF" w:rsidRDefault="0019326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984CEF">
        <w:trPr>
          <w:trHeight w:val="463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r>
              <w:rPr>
                <w:rFonts w:ascii="Times New Roman" w:eastAsia="Times New Roman" w:hAnsi="Times New Roman" w:cs="Times New Roman"/>
                <w:b/>
                <w:sz w:val="20"/>
              </w:rPr>
              <w:t>Низкий уровень дисциплины в классе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spacing w:after="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Частота нарушения дисциплины </w:t>
            </w:r>
          </w:p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(по ответам обучающихся)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36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</w:tcPr>
          <w:p w:rsidR="00984CEF" w:rsidRDefault="00984CEF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</w:tcPr>
          <w:p w:rsidR="00984CEF" w:rsidRDefault="0019326B">
            <w:pPr>
              <w:spacing w:after="8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Оценка уровня дисциплины в школе </w:t>
            </w:r>
          </w:p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(по ответам учителей)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2CC"/>
            <w:vAlign w:val="center"/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235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:rsidR="00984CEF" w:rsidRDefault="0019326B">
            <w:pPr>
              <w:ind w:left="1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9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:rsidR="00984CEF" w:rsidRDefault="0019326B">
            <w:r>
              <w:rPr>
                <w:rFonts w:ascii="Times New Roman" w:eastAsia="Times New Roman" w:hAnsi="Times New Roman" w:cs="Times New Roman"/>
                <w:b/>
                <w:sz w:val="20"/>
              </w:rPr>
              <w:t>Высокая доля обучающихся с рисками учебной неуспешности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обучающихся с низким индексом ESCS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51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:rsidR="00984CEF" w:rsidRDefault="00984CEF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shd w:val="clear" w:color="auto" w:fill="FBE4D5"/>
          </w:tcPr>
          <w:p w:rsidR="00984CEF" w:rsidRDefault="0019326B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  <w:shd w:val="clear" w:color="auto" w:fill="FBE4D5"/>
          </w:tcPr>
          <w:p w:rsidR="00984CEF" w:rsidRDefault="0019326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984CEF">
        <w:trPr>
          <w:trHeight w:val="6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</w:tcPr>
          <w:p w:rsidR="00984CEF" w:rsidRDefault="0019326B">
            <w:pPr>
              <w:ind w:left="108" w:right="135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обучающихся, которым учителя рекомендуют дополнительные занятия с целью ликвидации отставания от учебной программы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39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shd w:val="clear" w:color="auto" w:fill="FBE4D5"/>
            <w:vAlign w:val="center"/>
          </w:tcPr>
          <w:p w:rsidR="00984CEF" w:rsidRDefault="0019326B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984CEF" w:rsidRDefault="0019326B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  <w:r>
              <w:t xml:space="preserve"> </w:t>
            </w:r>
          </w:p>
        </w:tc>
      </w:tr>
      <w:tr w:rsidR="00984CEF">
        <w:trPr>
          <w:trHeight w:val="464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</w:tcPr>
          <w:p w:rsidR="00984CEF" w:rsidRDefault="0019326B">
            <w:pPr>
              <w:ind w:left="1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  <w:r>
              <w:t xml:space="preserve"> </w:t>
            </w:r>
          </w:p>
        </w:tc>
        <w:tc>
          <w:tcPr>
            <w:tcW w:w="233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84CEF" w:rsidRDefault="0019326B">
            <w:r>
              <w:rPr>
                <w:rFonts w:ascii="Times New Roman" w:eastAsia="Times New Roman" w:hAnsi="Times New Roman" w:cs="Times New Roman"/>
                <w:b/>
                <w:sz w:val="20"/>
              </w:rPr>
              <w:t>Низкий уровень вовлеченности родителей</w:t>
            </w:r>
            <w:r>
              <w:t xml:space="preserve"> </w:t>
            </w:r>
          </w:p>
        </w:tc>
        <w:tc>
          <w:tcPr>
            <w:tcW w:w="47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108" w:right="132"/>
            </w:pPr>
            <w:r>
              <w:rPr>
                <w:rFonts w:ascii="Times New Roman" w:eastAsia="Times New Roman" w:hAnsi="Times New Roman" w:cs="Times New Roman"/>
                <w:sz w:val="20"/>
              </w:rPr>
              <w:t>Степень незаинтересованности учебным процессом со стороны родителей</w:t>
            </w:r>
            <w:r>
              <w:t xml:space="preserve"> </w:t>
            </w:r>
          </w:p>
        </w:tc>
        <w:tc>
          <w:tcPr>
            <w:tcW w:w="823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:rsidR="00984CEF" w:rsidRDefault="0019326B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t xml:space="preserve"> </w:t>
            </w:r>
          </w:p>
        </w:tc>
        <w:tc>
          <w:tcPr>
            <w:tcW w:w="329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984CEF"/>
        </w:tc>
        <w:tc>
          <w:tcPr>
            <w:tcW w:w="690" w:type="dxa"/>
            <w:tcBorders>
              <w:top w:val="single" w:sz="2" w:space="0" w:color="000000"/>
              <w:left w:val="nil"/>
              <w:bottom w:val="dashed" w:sz="2" w:space="0" w:color="000000"/>
              <w:right w:val="nil"/>
            </w:tcBorders>
            <w:vAlign w:val="center"/>
          </w:tcPr>
          <w:p w:rsidR="00984CEF" w:rsidRDefault="0019326B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nil"/>
              <w:bottom w:val="dashed" w:sz="2" w:space="0" w:color="000000"/>
              <w:right w:val="single" w:sz="4" w:space="0" w:color="000000"/>
            </w:tcBorders>
            <w:vAlign w:val="center"/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Проявление родителями поддержки детей в учебе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dashed" w:sz="2" w:space="0" w:color="000000"/>
              <w:right w:val="nil"/>
            </w:tcBorders>
          </w:tcPr>
          <w:p w:rsidR="00984CEF" w:rsidRDefault="0019326B">
            <w:pPr>
              <w:ind w:left="70"/>
            </w:pPr>
            <w:r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dashed" w:sz="2" w:space="0" w:color="000000"/>
              <w:right w:val="single" w:sz="4" w:space="0" w:color="000000"/>
            </w:tcBorders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84CEF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47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:rsidR="00984CEF" w:rsidRDefault="0019326B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>Доля родителей, регулярно посещающих родительские собрания</w:t>
            </w:r>
            <w:r>
              <w:t xml:space="preserve"> </w:t>
            </w:r>
          </w:p>
        </w:tc>
        <w:tc>
          <w:tcPr>
            <w:tcW w:w="823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84CEF" w:rsidRDefault="0019326B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76</w:t>
            </w:r>
            <w:r>
              <w:t xml:space="preserve"> </w:t>
            </w:r>
          </w:p>
        </w:tc>
        <w:tc>
          <w:tcPr>
            <w:tcW w:w="329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</w:tcPr>
          <w:p w:rsidR="00984CEF" w:rsidRDefault="00984CEF"/>
        </w:tc>
        <w:tc>
          <w:tcPr>
            <w:tcW w:w="690" w:type="dxa"/>
            <w:tcBorders>
              <w:top w:val="dashed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84CEF" w:rsidRDefault="0019326B">
            <w:pPr>
              <w:ind w:left="182"/>
            </w:pPr>
            <w:r>
              <w:rPr>
                <w:rFonts w:ascii="Times New Roman" w:eastAsia="Times New Roman" w:hAnsi="Times New Roman" w:cs="Times New Roman"/>
                <w:sz w:val="20"/>
              </w:rPr>
              <w:t>%</w:t>
            </w:r>
            <w:r>
              <w:t xml:space="preserve"> </w:t>
            </w:r>
          </w:p>
        </w:tc>
        <w:tc>
          <w:tcPr>
            <w:tcW w:w="1164" w:type="dxa"/>
            <w:tcBorders>
              <w:top w:val="dashed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:rsidR="00984CEF" w:rsidRDefault="0019326B">
            <w:pPr>
              <w:ind w:left="104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984CEF" w:rsidRDefault="0019326B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>Примечание: показатели, значения которых показаны в баллах, измерены по 100-балльной шкале</w:t>
      </w:r>
      <w:r>
        <w:t xml:space="preserve"> </w:t>
      </w:r>
    </w:p>
    <w:sectPr w:rsidR="00984CEF">
      <w:pgSz w:w="11906" w:h="16838"/>
      <w:pgMar w:top="426" w:right="891" w:bottom="2190" w:left="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EF"/>
    <w:rsid w:val="0019326B"/>
    <w:rsid w:val="00984CEF"/>
    <w:rsid w:val="00E6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F5A3A-C8B0-46DA-8639-28E8C444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3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8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6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7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2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7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5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0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1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4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5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5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3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8" Type="http://schemas.openxmlformats.org/officeDocument/2006/relationships/hyperlink" Target="https://fioco.ru/antirisk" TargetMode="External"/><Relationship Id="rId10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9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4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9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4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2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7" Type="http://schemas.openxmlformats.org/officeDocument/2006/relationships/hyperlink" Target="https://fioco.ru/antiris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2021-04-20T05:15:00Z</dcterms:created>
  <dcterms:modified xsi:type="dcterms:W3CDTF">2021-04-20T05:15:00Z</dcterms:modified>
</cp:coreProperties>
</file>